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B579" w14:textId="77777777" w:rsidR="00B67E76" w:rsidRDefault="00B67E76" w:rsidP="0097403F">
      <w:pPr>
        <w:bidi/>
        <w:spacing w:before="100" w:beforeAutospacing="1" w:after="100" w:afterAutospacing="1" w:line="240" w:lineRule="auto"/>
        <w:jc w:val="center"/>
        <w:rPr>
          <w:rFonts w:ascii="Arabic Typesetting" w:eastAsia="Times New Roman" w:hAnsi="Arabic Typesetting" w:cs="Arabic Typesetting"/>
          <w:b/>
          <w:bCs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 wp14:anchorId="0EA38194" wp14:editId="31AEC19D">
            <wp:extent cx="5760720" cy="691286"/>
            <wp:effectExtent l="0" t="0" r="0" b="0"/>
            <wp:docPr id="1" name="Picture 1" descr="https://atrssh.dz/wp-content/uploads/2021/10/header-m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trssh.dz/wp-content/uploads/2021/10/header-mo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C676" w14:textId="77777777" w:rsidR="00B67E76" w:rsidRPr="00C86A8F" w:rsidRDefault="00C86A8F" w:rsidP="00184B96">
      <w:pPr>
        <w:bidi/>
        <w:spacing w:before="100" w:beforeAutospacing="1" w:after="100" w:afterAutospacing="1" w:line="240" w:lineRule="auto"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eastAsia="fr-FR" w:bidi="ar-DZ"/>
        </w:rPr>
      </w:pPr>
      <w:r w:rsidRPr="00C86A8F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eastAsia="fr-FR"/>
        </w:rPr>
        <w:t xml:space="preserve">قسنطينة </w:t>
      </w:r>
      <w:r w:rsidR="00184B96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eastAsia="fr-FR" w:bidi="ar-DZ"/>
        </w:rPr>
        <w:t>03</w:t>
      </w:r>
      <w:r w:rsidR="00924DD9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eastAsia="fr-FR" w:bidi="ar-DZ"/>
        </w:rPr>
        <w:t>/0</w:t>
      </w:r>
      <w:r w:rsidR="00184B96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eastAsia="fr-FR" w:bidi="ar-DZ"/>
        </w:rPr>
        <w:t>5</w:t>
      </w:r>
      <w:r w:rsidR="00924DD9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  <w:lang w:eastAsia="fr-FR" w:bidi="ar-DZ"/>
        </w:rPr>
        <w:t>/2026</w:t>
      </w:r>
    </w:p>
    <w:p w14:paraId="435F7F19" w14:textId="77777777" w:rsidR="00AC217D" w:rsidRPr="0097403F" w:rsidRDefault="00C3344D" w:rsidP="00B67E76">
      <w:pPr>
        <w:bidi/>
        <w:spacing w:before="100" w:beforeAutospacing="1" w:after="100" w:afterAutospacing="1" w:line="240" w:lineRule="auto"/>
        <w:jc w:val="center"/>
        <w:rPr>
          <w:rFonts w:ascii="Arabic Typesetting" w:eastAsia="Times New Roman" w:hAnsi="Arabic Typesetting" w:cs="Arabic Typesetting"/>
          <w:b/>
          <w:bCs/>
          <w:sz w:val="48"/>
          <w:szCs w:val="48"/>
          <w:lang w:eastAsia="fr-FR"/>
        </w:rPr>
      </w:pPr>
      <w:r w:rsidRPr="0097403F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eastAsia="fr-FR"/>
        </w:rPr>
        <w:t>نحو</w:t>
      </w:r>
      <w:r w:rsidR="0095528E" w:rsidRPr="0097403F">
        <w:rPr>
          <w:rFonts w:ascii="Arabic Typesetting" w:eastAsia="Times New Roman" w:hAnsi="Arabic Typesetting" w:cs="Arabic Typesetting"/>
          <w:b/>
          <w:bCs/>
          <w:sz w:val="48"/>
          <w:szCs w:val="48"/>
          <w:rtl/>
          <w:lang w:eastAsia="fr-FR"/>
        </w:rPr>
        <w:t xml:space="preserve"> دينام</w:t>
      </w:r>
      <w:r w:rsidRPr="0097403F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  <w:lang w:eastAsia="fr-FR"/>
        </w:rPr>
        <w:t>يك</w:t>
      </w:r>
      <w:r w:rsidR="0095528E" w:rsidRPr="0097403F">
        <w:rPr>
          <w:rFonts w:ascii="Arabic Typesetting" w:eastAsia="Times New Roman" w:hAnsi="Arabic Typesetting" w:cs="Arabic Typesetting"/>
          <w:b/>
          <w:bCs/>
          <w:sz w:val="48"/>
          <w:szCs w:val="48"/>
          <w:rtl/>
          <w:lang w:eastAsia="fr-FR"/>
        </w:rPr>
        <w:t>ية بحثية تعاونية بين المخابر</w:t>
      </w:r>
    </w:p>
    <w:p w14:paraId="419BC0F1" w14:textId="77777777" w:rsidR="00CF1D22" w:rsidRDefault="00AC217D" w:rsidP="00CF1D22">
      <w:pPr>
        <w:bidi/>
        <w:spacing w:before="100" w:beforeAutospacing="1" w:after="100" w:afterAutospacing="1" w:line="240" w:lineRule="auto"/>
        <w:jc w:val="both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السياق والرؤية</w:t>
      </w:r>
    </w:p>
    <w:p w14:paraId="0F45B5BF" w14:textId="77777777" w:rsidR="00AC217D" w:rsidRPr="0095528E" w:rsidRDefault="00AC217D" w:rsidP="002C7273">
      <w:pPr>
        <w:bidi/>
        <w:spacing w:before="100" w:beforeAutospacing="1" w:after="100" w:afterAutospacing="1" w:line="240" w:lineRule="auto"/>
        <w:jc w:val="both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في ظل 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سياق علمي سريع التطور</w:t>
      </w:r>
      <w:r w:rsidR="00B2638A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، 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أص</w:t>
      </w:r>
      <w:r w:rsidR="00C3344D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يح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المشهد العلمي</w:t>
      </w:r>
      <w:r w:rsidR="00C3344D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يفرض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تحديات متنامية</w:t>
      </w:r>
      <w:r w:rsidR="0083668B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 xml:space="preserve"> 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 w:bidi="ar-DZ"/>
        </w:rPr>
        <w:t>باستمرار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،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ويستدعي وضع استراتيجيات</w:t>
      </w:r>
      <w:r w:rsidR="00C3344D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مواجهة 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الاشكاليات الراهنة والمستجدة 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كمنظومة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بحثية وطنية شاملة تتجاوز المباد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رات الفردية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، بل يفرض 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التأسيس لخريطة بحثية شاملة. 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وهو أمر يضع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الكيانات البحثية 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أمام ضرورة ال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ترابط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والتشبيك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ضمن دوائر موضوعاتية متكاملة ومتقاربة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، كأآية 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لاستشراف المخرجات البحثية وتوجيهه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ه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ا وفق الأولويات الوطنية. وفي هذا السياق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ت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عتزم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الوكالة الموضوعاتية للبحث في العلوم الاجتماعية والإنسانية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="002C7273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ا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لتأسيس ل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دينامي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كي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ة </w:t>
      </w:r>
      <w:r w:rsidR="00B2638A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تعاون بين المخ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ابر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="00B2638A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البحثية على مستوى ميادين العلوم الاجتماعية والانسانية, </w:t>
      </w:r>
      <w:r w:rsidR="00B2638A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و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خلق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="00B2638A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>تقاليد عمل جماعي في ضوء خريطة بحثية جامعية وطنية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005A0BD9" w14:textId="77777777" w:rsidR="00AC217D" w:rsidRPr="0095528E" w:rsidRDefault="002C7273" w:rsidP="0097403F">
      <w:pPr>
        <w:bidi/>
        <w:spacing w:before="100" w:beforeAutospacing="1" w:after="100" w:afterAutospacing="1" w:line="240" w:lineRule="auto"/>
        <w:jc w:val="both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و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تهدف هذه 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المبادرة 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إلى تعزيز الإشعاع الوطني والدولي 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لمخرجات 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المنظومة 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البحث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ية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في العلوم الاجتماعية والإنسانية</w:t>
      </w:r>
      <w:r w:rsidR="0083668B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واستكشاف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</w:t>
      </w:r>
      <w:r w:rsidR="0083668B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الكفاءات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العلمية</w:t>
      </w:r>
      <w:r w:rsidR="0083668B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وتحفيز الابتكار العلمي،</w:t>
      </w:r>
    </w:p>
    <w:p w14:paraId="198544CC" w14:textId="77777777" w:rsidR="00AC217D" w:rsidRPr="0095528E" w:rsidRDefault="00AC217D" w:rsidP="0095528E">
      <w:pPr>
        <w:bidi/>
        <w:spacing w:before="100" w:beforeAutospacing="1" w:after="100" w:afterAutospacing="1" w:line="240" w:lineRule="auto"/>
        <w:outlineLvl w:val="2"/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لماذا العمل في شبكات بحثية؟</w:t>
      </w:r>
    </w:p>
    <w:p w14:paraId="28AD0C18" w14:textId="77777777" w:rsidR="00AC217D" w:rsidRPr="0095528E" w:rsidRDefault="00C86A8F" w:rsidP="00C86A8F">
      <w:p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نسعى من خلال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إنشاء دينام</w:t>
      </w:r>
      <w:r w:rsidR="00AD790C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يكي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ة بحثية تعاونية بين</w:t>
      </w:r>
      <w:r w:rsidR="00AD790C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المخابر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للاستجابة 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لعدة متطلبات أساسية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:</w:t>
      </w:r>
    </w:p>
    <w:p w14:paraId="11B5CF97" w14:textId="77777777" w:rsidR="00AC217D" w:rsidRPr="0095528E" w:rsidRDefault="00AC217D" w:rsidP="00CF1D2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 xml:space="preserve">تحفيز </w:t>
      </w:r>
      <w:r w:rsidR="00AD790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>المخابر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 xml:space="preserve"> على اعتماد أفضل الممارسات </w:t>
      </w:r>
      <w:r w:rsidR="00CF1D22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>البحثية</w:t>
      </w:r>
      <w:r w:rsidR="002C7273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 </w:t>
      </w:r>
      <w:r w:rsidR="00CF1D22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>الجامعية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  <w:t>.</w:t>
      </w:r>
    </w:p>
    <w:p w14:paraId="06E99BDE" w14:textId="77777777" w:rsidR="00AC217D" w:rsidRPr="0095528E" w:rsidRDefault="00AD790C" w:rsidP="00CF1D2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تشجيع </w:t>
      </w:r>
      <w:r w:rsidR="00AC217D"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تبادل الكفاءات والموارد</w:t>
      </w:r>
      <w:r w:rsidR="00AC217D"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  <w:t>:</w:t>
      </w:r>
      <w:r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 حيث 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تتيح الشبكة تكامل الخبرات وتشارك البيانات والأدوات العلمية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4B0D361D" w14:textId="77777777" w:rsidR="00AC217D" w:rsidRPr="0095528E" w:rsidRDefault="00AC217D" w:rsidP="009740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تعزيز التعاون العلمي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  <w:t>:</w:t>
      </w:r>
      <w:r w:rsidR="00AD790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 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وذلك ب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إنشاء جسور بين فرق البحث التي تشتغل على قضايا متقاربة أو متقاطعة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54E1E5A7" w14:textId="77777777" w:rsidR="00AC217D" w:rsidRPr="0095528E" w:rsidRDefault="00AC217D" w:rsidP="009740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بناء أقطاب امتياز موضوعاتية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  <w:t>:</w:t>
      </w:r>
      <w:r w:rsidR="00AD790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 </w:t>
      </w:r>
      <w:r w:rsidR="0097403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وتشكيل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مجموعات منسجمة ومرئية وقادرة على المنافسة على المستويين الوطني والدولي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79341FD1" w14:textId="77777777" w:rsidR="00AC217D" w:rsidRPr="0095528E" w:rsidRDefault="00AC217D" w:rsidP="00AD790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تحفيز الإنتاج العلمي الجماعي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  <w:t>:</w:t>
      </w:r>
      <w:r w:rsidR="00AD790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 حيث 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تتيح الشبكة تشجيع النشر المشترك، والمشاريع التعاونية، والمشاركة </w:t>
      </w:r>
      <w:r w:rsidR="00AD790C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الجامعية 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في البرامج البحثية الوطنية والدولية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5FB58132" w14:textId="77777777" w:rsidR="00AC217D" w:rsidRDefault="00AC217D" w:rsidP="00AD790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 xml:space="preserve">تعزيز التكوين في البحث </w:t>
      </w:r>
      <w:r w:rsidR="00AD790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والحركية العلمية حيث 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توفر الشبكة فرصاً للباحثين وطلبة الدكتوراه للتبادل، والإشراف المشترك، والتكوين البحثي ضمن إطار تعاوني بين </w:t>
      </w:r>
      <w:r w:rsidR="00AD790C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المخابر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512A4723" w14:textId="77777777" w:rsidR="00C86A8F" w:rsidRPr="0095528E" w:rsidRDefault="00C86A8F" w:rsidP="00C86A8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C86A8F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تحسين تموقع الم</w:t>
      </w:r>
      <w:r w:rsidRPr="00C86A8F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>خابر</w:t>
      </w:r>
      <w:r w:rsidRPr="00C86A8F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 xml:space="preserve"> في المشهد العلمي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على المستوى المحلي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، الوطني والدولي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5DF7D9BD" w14:textId="77777777" w:rsidR="00C86A8F" w:rsidRPr="00C86A8F" w:rsidRDefault="00C86A8F" w:rsidP="00C86A8F">
      <w:pPr>
        <w:bidi/>
        <w:spacing w:before="100" w:beforeAutospacing="1" w:after="100" w:afterAutospacing="1" w:line="240" w:lineRule="auto"/>
        <w:ind w:left="720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</w:p>
    <w:p w14:paraId="08690134" w14:textId="77777777" w:rsidR="00C86A8F" w:rsidRDefault="00C86A8F" w:rsidP="00CF1D22">
      <w:pPr>
        <w:bidi/>
        <w:spacing w:before="100" w:beforeAutospacing="1" w:after="100" w:afterAutospacing="1" w:line="240" w:lineRule="auto"/>
        <w:outlineLvl w:val="2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</w:pPr>
    </w:p>
    <w:p w14:paraId="3F5FDDB1" w14:textId="77777777" w:rsidR="00C86A8F" w:rsidRDefault="00C86A8F" w:rsidP="00C86A8F">
      <w:pPr>
        <w:bidi/>
        <w:spacing w:before="100" w:beforeAutospacing="1" w:after="100" w:afterAutospacing="1" w:line="240" w:lineRule="auto"/>
        <w:outlineLvl w:val="2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</w:pPr>
    </w:p>
    <w:p w14:paraId="5BC892CF" w14:textId="77777777" w:rsidR="00AC217D" w:rsidRPr="0095528E" w:rsidRDefault="00AC217D" w:rsidP="00C86A8F">
      <w:pPr>
        <w:bidi/>
        <w:spacing w:before="100" w:beforeAutospacing="1" w:after="100" w:afterAutospacing="1" w:line="240" w:lineRule="auto"/>
        <w:outlineLvl w:val="2"/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lastRenderedPageBreak/>
        <w:t>بعض مسارات العمل بين المخ</w:t>
      </w:r>
      <w:r w:rsidR="00CF1D22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>ابر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/>
        </w:rPr>
        <w:t>:</w:t>
      </w:r>
    </w:p>
    <w:p w14:paraId="38B5024A" w14:textId="77777777" w:rsidR="00AC217D" w:rsidRPr="0095528E" w:rsidRDefault="00AC217D" w:rsidP="00C86A8F">
      <w:p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في إطار الانخراط في </w:t>
      </w:r>
      <w:r w:rsidR="00C86A8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 w:bidi="ar-DZ"/>
        </w:rPr>
        <w:t>برنامج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الوكالة</w:t>
      </w:r>
      <w:r w:rsidR="00C86A8F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 xml:space="preserve"> الموضوعاتية للبحث في العلوم الاجتماعية والانسانية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، يمكن لمخ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اير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البحث أن</w:t>
      </w:r>
      <w:r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:</w:t>
      </w:r>
    </w:p>
    <w:p w14:paraId="1325AABA" w14:textId="77777777" w:rsidR="00C86A8F" w:rsidRPr="0095528E" w:rsidRDefault="00C86A8F" w:rsidP="00C86A8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تسهّل 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التشاور والتنسيق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بين 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المخابر والباحثين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في نفس المجال؛</w:t>
      </w:r>
    </w:p>
    <w:p w14:paraId="27134CE1" w14:textId="77777777" w:rsidR="00AC217D" w:rsidRPr="0095528E" w:rsidRDefault="00C86A8F" w:rsidP="0095528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تشجع العمل ضمن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="00AC217D"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محاور علمية مشتركة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؛</w:t>
      </w:r>
    </w:p>
    <w:p w14:paraId="2A792D21" w14:textId="77777777" w:rsidR="00AC217D" w:rsidRPr="0095528E" w:rsidRDefault="00AC217D" w:rsidP="0095528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تساهم في 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بناء مشاريع مهيكلة</w:t>
      </w: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ذات قدرة عالية على الابتكار ونقل المعرفة؛</w:t>
      </w:r>
    </w:p>
    <w:p w14:paraId="05C51938" w14:textId="77777777" w:rsidR="00CF1D22" w:rsidRPr="00CF1D22" w:rsidRDefault="00AC217D" w:rsidP="00CF1D2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تعمل على 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 xml:space="preserve">إعداد مرجعية </w:t>
      </w:r>
      <w:r w:rsidR="0097403F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وطنية </w:t>
      </w:r>
      <w:r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للبحث في العلوم الاجتماعية والإنسانية</w:t>
      </w:r>
    </w:p>
    <w:p w14:paraId="75651EBB" w14:textId="77777777" w:rsidR="00AC217D" w:rsidRPr="0095528E" w:rsidRDefault="0097403F" w:rsidP="00CF1D2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تقترح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="00CF1D22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/>
        </w:rPr>
        <w:t xml:space="preserve">مداخل لتخصصات </w:t>
      </w:r>
      <w:r w:rsidR="00AC217D" w:rsidRPr="0095528E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/>
        </w:rPr>
        <w:t>مهنية جديدة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 xml:space="preserve"> </w:t>
      </w:r>
      <w:r w:rsidR="00CF1D22"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تتماشى مع ا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rtl/>
          <w:lang w:eastAsia="fr-FR"/>
        </w:rPr>
        <w:t>لمهن المستقبل</w:t>
      </w:r>
      <w:r>
        <w:rPr>
          <w:rFonts w:ascii="Arabic Typesetting" w:eastAsia="Times New Roman" w:hAnsi="Arabic Typesetting" w:cs="Arabic Typesetting" w:hint="cs"/>
          <w:sz w:val="36"/>
          <w:szCs w:val="36"/>
          <w:rtl/>
          <w:lang w:eastAsia="fr-FR"/>
        </w:rPr>
        <w:t>ية</w:t>
      </w:r>
      <w:r w:rsidR="00AC217D" w:rsidRPr="0095528E">
        <w:rPr>
          <w:rFonts w:ascii="Arabic Typesetting" w:eastAsia="Times New Roman" w:hAnsi="Arabic Typesetting" w:cs="Arabic Typesetting"/>
          <w:sz w:val="36"/>
          <w:szCs w:val="36"/>
          <w:lang w:eastAsia="fr-FR"/>
        </w:rPr>
        <w:t>.</w:t>
      </w:r>
    </w:p>
    <w:p w14:paraId="4358DE46" w14:textId="77777777" w:rsidR="00AC217D" w:rsidRPr="0095528E" w:rsidRDefault="00AC217D" w:rsidP="0095528E">
      <w:pPr>
        <w:bidi/>
        <w:spacing w:after="0" w:line="240" w:lineRule="auto"/>
        <w:rPr>
          <w:rFonts w:ascii="Arabic Typesetting" w:eastAsia="Times New Roman" w:hAnsi="Arabic Typesetting" w:cs="Arabic Typesetting"/>
          <w:sz w:val="36"/>
          <w:szCs w:val="36"/>
          <w:lang w:eastAsia="fr-FR"/>
        </w:rPr>
      </w:pPr>
    </w:p>
    <w:p w14:paraId="43540476" w14:textId="77777777" w:rsidR="00151192" w:rsidRDefault="002C7273" w:rsidP="00B67E76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وفق هده الرؤية نبادر الوكالة الموضوعاتية للبحث في العلوم الاجتماعية والانسانية </w:t>
      </w:r>
      <w:r w:rsidR="00B67E76">
        <w:rPr>
          <w:rFonts w:ascii="Arabic Typesetting" w:hAnsi="Arabic Typesetting" w:cs="Arabic Typesetting" w:hint="cs"/>
          <w:sz w:val="36"/>
          <w:szCs w:val="36"/>
          <w:rtl/>
        </w:rPr>
        <w:t>لبرمجة من الورشات الموضوعاتية حسب تخصصاتها وتعكف كمرحلة أولى على إثراء:</w:t>
      </w:r>
    </w:p>
    <w:p w14:paraId="093C0554" w14:textId="77777777" w:rsidR="00B67E76" w:rsidRPr="00C86A8F" w:rsidRDefault="00B67E76" w:rsidP="00C86A8F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6"/>
          <w:szCs w:val="36"/>
        </w:rPr>
      </w:pPr>
      <w:r w:rsidRPr="00C86A8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مشروع دليل الممارسات البحثية النموذجية في العلوم الاجتماعية والانسانية</w:t>
      </w:r>
    </w:p>
    <w:p w14:paraId="5EA50E8D" w14:textId="77777777" w:rsidR="00B67E76" w:rsidRPr="00C86A8F" w:rsidRDefault="00B67E76" w:rsidP="00C86A8F">
      <w:pPr>
        <w:pStyle w:val="Paragraphedeliste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36"/>
          <w:szCs w:val="36"/>
        </w:rPr>
      </w:pPr>
      <w:r w:rsidRPr="00C86A8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مشروع الرصيد المرجعي للبحث في العلوم الاجتماعية والانسانية</w:t>
      </w:r>
    </w:p>
    <w:sectPr w:rsidR="00B67E76" w:rsidRPr="00C86A8F" w:rsidSect="00B67E7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6D4"/>
    <w:multiLevelType w:val="hybridMultilevel"/>
    <w:tmpl w:val="68865678"/>
    <w:lvl w:ilvl="0" w:tplc="33A6DB58">
      <w:start w:val="1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11077"/>
    <w:multiLevelType w:val="hybridMultilevel"/>
    <w:tmpl w:val="8CC280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72089"/>
    <w:multiLevelType w:val="multilevel"/>
    <w:tmpl w:val="A1E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8040A"/>
    <w:multiLevelType w:val="multilevel"/>
    <w:tmpl w:val="477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01044"/>
    <w:multiLevelType w:val="hybridMultilevel"/>
    <w:tmpl w:val="4BBA9F48"/>
    <w:lvl w:ilvl="0" w:tplc="33A6DB58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E1B3F"/>
    <w:multiLevelType w:val="multilevel"/>
    <w:tmpl w:val="FEE4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62023">
    <w:abstractNumId w:val="5"/>
  </w:num>
  <w:num w:numId="2" w16cid:durableId="1770926761">
    <w:abstractNumId w:val="2"/>
  </w:num>
  <w:num w:numId="3" w16cid:durableId="771783188">
    <w:abstractNumId w:val="3"/>
  </w:num>
  <w:num w:numId="4" w16cid:durableId="1216505060">
    <w:abstractNumId w:val="4"/>
  </w:num>
  <w:num w:numId="5" w16cid:durableId="207449982">
    <w:abstractNumId w:val="1"/>
  </w:num>
  <w:num w:numId="6" w16cid:durableId="5155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7D"/>
    <w:rsid w:val="00151192"/>
    <w:rsid w:val="00184B96"/>
    <w:rsid w:val="002C7273"/>
    <w:rsid w:val="003F1B0F"/>
    <w:rsid w:val="0083668B"/>
    <w:rsid w:val="00924DD9"/>
    <w:rsid w:val="0095528E"/>
    <w:rsid w:val="0097403F"/>
    <w:rsid w:val="00A03B54"/>
    <w:rsid w:val="00A12EBC"/>
    <w:rsid w:val="00AB2F60"/>
    <w:rsid w:val="00AC217D"/>
    <w:rsid w:val="00AC2DF6"/>
    <w:rsid w:val="00AD790C"/>
    <w:rsid w:val="00B2638A"/>
    <w:rsid w:val="00B67E76"/>
    <w:rsid w:val="00BE4C46"/>
    <w:rsid w:val="00C3344D"/>
    <w:rsid w:val="00C86A8F"/>
    <w:rsid w:val="00CE0E82"/>
    <w:rsid w:val="00CF1D22"/>
    <w:rsid w:val="00E23460"/>
    <w:rsid w:val="00E41600"/>
    <w:rsid w:val="00E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6CEB"/>
  <w15:chartTrackingRefBased/>
  <w15:docId w15:val="{B9A29FAC-7C63-450F-9936-DE841A8E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C2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C217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217D"/>
    <w:rPr>
      <w:b/>
      <w:bCs/>
    </w:rPr>
  </w:style>
  <w:style w:type="paragraph" w:styleId="Paragraphedeliste">
    <w:name w:val="List Paragraph"/>
    <w:basedOn w:val="Normal"/>
    <w:uiPriority w:val="34"/>
    <w:qFormat/>
    <w:rsid w:val="00B67E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6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DF139-4A81-4CC6-B1B7-3A44A6A1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AIBECHE</cp:lastModifiedBy>
  <cp:revision>2</cp:revision>
  <cp:lastPrinted>2026-04-14T14:42:00Z</cp:lastPrinted>
  <dcterms:created xsi:type="dcterms:W3CDTF">2026-06-14T08:23:00Z</dcterms:created>
  <dcterms:modified xsi:type="dcterms:W3CDTF">2026-06-14T08:23:00Z</dcterms:modified>
</cp:coreProperties>
</file>